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FE" w:rsidRDefault="00F80CFE" w:rsidP="00F80CF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F80CF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-467360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CFE" w:rsidRDefault="00F80CFE" w:rsidP="00F80CF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F80CFE" w:rsidRDefault="00F80CFE" w:rsidP="00F80CF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F80CFE" w:rsidRDefault="00F80CFE" w:rsidP="00F80CF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F80CFE" w:rsidRPr="00F80CFE" w:rsidRDefault="00F80CFE" w:rsidP="00F80CF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F80CFE">
        <w:rPr>
          <w:b/>
          <w:sz w:val="28"/>
          <w:szCs w:val="28"/>
        </w:rPr>
        <w:t xml:space="preserve">Управление </w:t>
      </w:r>
      <w:proofErr w:type="spellStart"/>
      <w:r w:rsidRPr="00F80CFE">
        <w:rPr>
          <w:b/>
          <w:sz w:val="28"/>
          <w:szCs w:val="28"/>
        </w:rPr>
        <w:t>Росреестра</w:t>
      </w:r>
      <w:proofErr w:type="spellEnd"/>
      <w:r w:rsidRPr="00F80CFE">
        <w:rPr>
          <w:b/>
          <w:sz w:val="28"/>
          <w:szCs w:val="28"/>
        </w:rPr>
        <w:t xml:space="preserve"> по Красноярскому краю отвечает на вопросы </w:t>
      </w:r>
      <w:r w:rsidR="00473470">
        <w:rPr>
          <w:b/>
          <w:sz w:val="28"/>
          <w:szCs w:val="28"/>
        </w:rPr>
        <w:t>граждан об оформлении прав собственности на гараж</w:t>
      </w: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Pr="00F80CFE" w:rsidRDefault="00F80CFE" w:rsidP="00F80CFE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r w:rsidRPr="00F80CFE">
        <w:rPr>
          <w:i/>
          <w:sz w:val="28"/>
          <w:szCs w:val="28"/>
        </w:rPr>
        <w:t>Достаточно ли для постановки на государственный кадастровый учет и государственной регистрации права собственности  на гараж представить справку гаражно-строительного кооператива о выплате пая?</w:t>
      </w:r>
    </w:p>
    <w:p w:rsidR="00F80CFE" w:rsidRPr="00F80CFE" w:rsidRDefault="00F80CFE" w:rsidP="00F80CFE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BC446D">
        <w:rPr>
          <w:sz w:val="28"/>
          <w:szCs w:val="28"/>
        </w:rPr>
        <w:t xml:space="preserve">Пунктом 1 </w:t>
      </w:r>
      <w:r>
        <w:rPr>
          <w:sz w:val="28"/>
          <w:szCs w:val="28"/>
        </w:rPr>
        <w:t>ст. 218 Гражданского кодекса РФ предусмотрено, что право собственности на новую вещь, изготовленную или созданную для себя с соблюдением закона и иных актов, приобретается этим лицом.</w:t>
      </w: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п. 4 данной статьи следует, что член жилищного, жилищно-строительного, дачного, гаражного или иного потребительского кооператива, другие лица, имеющие право на </w:t>
      </w:r>
      <w:proofErr w:type="spellStart"/>
      <w:r>
        <w:rPr>
          <w:sz w:val="28"/>
          <w:szCs w:val="28"/>
        </w:rPr>
        <w:t>паенакопления</w:t>
      </w:r>
      <w:proofErr w:type="spellEnd"/>
      <w:r>
        <w:rPr>
          <w:sz w:val="28"/>
          <w:szCs w:val="28"/>
        </w:rPr>
        <w:t>, полностью внесшие свой паевой взнос на квартиру, дачу, гараж, иное помещение, предоставленное этим лицам кооперативом, приобретают право собственности на указанное имущество.</w:t>
      </w: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Pr="00F80CFE" w:rsidRDefault="00F80CFE" w:rsidP="00F80CFE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r w:rsidRPr="00F80CFE">
        <w:rPr>
          <w:i/>
          <w:sz w:val="28"/>
          <w:szCs w:val="28"/>
        </w:rPr>
        <w:t>Таким образом, право собственности на гараж у члена гаражно-строительного кооператива, который полностью внес свой паевой взнос,  возникает в силу закона (и считается действительным даже при отсутствии его государственной регистрации).</w:t>
      </w: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регистрация таких прав в ЕГРН осуществляется по заявлениям правообладателей либо решению государственного регистратора при поступлении от органов государственной власти и нотариусов сведений, подтверждающих факт возникновения таких прав, кроме случаев, установленных федеральным законом.</w:t>
      </w: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Pr="00F80CFE" w:rsidRDefault="00F80CFE" w:rsidP="00F80CFE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r w:rsidRPr="00F80CFE">
        <w:rPr>
          <w:i/>
          <w:sz w:val="28"/>
          <w:szCs w:val="28"/>
        </w:rPr>
        <w:t>Вместе с тем, к ранее учтенным объектам недвижимости действующее законодательство РФ относит:</w:t>
      </w:r>
    </w:p>
    <w:p w:rsidR="00F80CFE" w:rsidRPr="00F80CFE" w:rsidRDefault="00F80CFE" w:rsidP="00F80CFE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объекты недвижимости, в отношении которых осуществлен технический учет или государственный учет, в том числе осуществленный в установленном законодательством порядке до дня вступления в силу Федерального закона              от 24.07.2007 № 221-ФЗ «О государственном кадастре недвижимости                     (т.е. до 01.03.2008);</w:t>
      </w: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недвижимости, государственный кадастровый учет или государственный учет (технический учет) которых не осуществлен, но </w:t>
      </w:r>
      <w:proofErr w:type="gramStart"/>
      <w:r>
        <w:rPr>
          <w:sz w:val="28"/>
          <w:szCs w:val="28"/>
        </w:rPr>
        <w:t>права</w:t>
      </w:r>
      <w:proofErr w:type="gramEnd"/>
      <w:r>
        <w:rPr>
          <w:sz w:val="28"/>
          <w:szCs w:val="28"/>
        </w:rPr>
        <w:t xml:space="preserve"> на которые зарегистрированы в ЕГРН и не прекращены, и которым присвоены условные номера в соответствии с ранее действующим Федеральным законом          от 21.07.1997 № 122-ФЗ «О государственной регистрации прав на недвижимое имущество и сделок с ним».</w:t>
      </w: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факт возникновения права собственности на объект недвижимости в силу закона (вне зависимости от государственной регистрации права) не придает такому объекту недвижимости статус ранее учтенного.</w:t>
      </w: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 объекты недвижимости, права на которые возникли в силу закона, не </w:t>
      </w:r>
      <w:proofErr w:type="gramStart"/>
      <w:r>
        <w:rPr>
          <w:sz w:val="28"/>
          <w:szCs w:val="28"/>
        </w:rPr>
        <w:t>были учтены до 01.03.2008 / права на них не были</w:t>
      </w:r>
      <w:proofErr w:type="gramEnd"/>
      <w:r>
        <w:rPr>
          <w:sz w:val="28"/>
          <w:szCs w:val="28"/>
        </w:rPr>
        <w:t xml:space="preserve"> зарегистрированы, учетно-регистрационные действия в отношении такого объекта недвижимости осуществляются в общем порядке.</w:t>
      </w: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Pr="00F636E9" w:rsidRDefault="00F80CFE" w:rsidP="00F80CFE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proofErr w:type="gramStart"/>
      <w:r w:rsidRPr="00F636E9">
        <w:rPr>
          <w:i/>
          <w:sz w:val="28"/>
          <w:szCs w:val="28"/>
        </w:rPr>
        <w:t>Таким образом, для государственного кадастрового учета и государственной регистрации прав на гараж члена гаражно-строительного кооператива,  помимо справки гаражно-строительного кооператива о выплате пая требуется представить технический план, подготовленный кадастровом инженером  в результате  проведения кадастровых работ.</w:t>
      </w:r>
      <w:proofErr w:type="gramEnd"/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Pr="003F7ABD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Pr="00AC61FA" w:rsidRDefault="00F80CFE" w:rsidP="00F80CFE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Пресс-служба</w:t>
      </w:r>
    </w:p>
    <w:p w:rsidR="00F80CFE" w:rsidRPr="00AC61FA" w:rsidRDefault="00F80CFE" w:rsidP="00F80CFE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AC61FA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AC61FA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F80CFE" w:rsidRPr="00AC61FA" w:rsidRDefault="00F80CFE" w:rsidP="00F80CFE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тел.: (391) 2-524-367, (391)2-524-356</w:t>
      </w:r>
    </w:p>
    <w:p w:rsidR="00F80CFE" w:rsidRPr="00473470" w:rsidRDefault="00F80CFE" w:rsidP="00F80CFE">
      <w:pPr>
        <w:pStyle w:val="NoSpacing1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AC61FA">
        <w:rPr>
          <w:rFonts w:ascii="Times New Roman" w:hAnsi="Times New Roman"/>
          <w:sz w:val="20"/>
          <w:szCs w:val="20"/>
        </w:rPr>
        <w:t>е</w:t>
      </w:r>
      <w:proofErr w:type="gramEnd"/>
      <w:r w:rsidRPr="00473470">
        <w:rPr>
          <w:rFonts w:ascii="Times New Roman" w:hAnsi="Times New Roman"/>
          <w:sz w:val="20"/>
          <w:szCs w:val="20"/>
          <w:lang w:val="en-US"/>
        </w:rPr>
        <w:t>-</w:t>
      </w:r>
      <w:r w:rsidRPr="00AC61FA">
        <w:rPr>
          <w:rFonts w:ascii="Times New Roman" w:hAnsi="Times New Roman"/>
          <w:sz w:val="20"/>
          <w:szCs w:val="20"/>
          <w:lang w:val="en-US"/>
        </w:rPr>
        <w:t>mail</w:t>
      </w:r>
      <w:r w:rsidRPr="00473470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 w:rsidRPr="00AC61FA">
          <w:rPr>
            <w:rStyle w:val="a6"/>
            <w:sz w:val="20"/>
            <w:szCs w:val="20"/>
            <w:lang w:val="en-US"/>
          </w:rPr>
          <w:t>pressa</w:t>
        </w:r>
        <w:r w:rsidRPr="00473470">
          <w:rPr>
            <w:rStyle w:val="a6"/>
            <w:sz w:val="20"/>
            <w:szCs w:val="20"/>
            <w:lang w:val="en-US"/>
          </w:rPr>
          <w:t>@</w:t>
        </w:r>
        <w:r w:rsidRPr="00AC61FA">
          <w:rPr>
            <w:rStyle w:val="a6"/>
            <w:sz w:val="20"/>
            <w:szCs w:val="20"/>
            <w:lang w:val="en-US"/>
          </w:rPr>
          <w:t>r</w:t>
        </w:r>
        <w:r w:rsidRPr="00473470">
          <w:rPr>
            <w:rStyle w:val="a6"/>
            <w:sz w:val="20"/>
            <w:szCs w:val="20"/>
            <w:lang w:val="en-US"/>
          </w:rPr>
          <w:t>24.</w:t>
        </w:r>
        <w:r w:rsidRPr="00AC61FA">
          <w:rPr>
            <w:rStyle w:val="a6"/>
            <w:sz w:val="20"/>
            <w:szCs w:val="20"/>
            <w:lang w:val="en-US"/>
          </w:rPr>
          <w:t>rosreestr</w:t>
        </w:r>
        <w:r w:rsidRPr="00473470">
          <w:rPr>
            <w:rStyle w:val="a6"/>
            <w:sz w:val="20"/>
            <w:szCs w:val="20"/>
            <w:lang w:val="en-US"/>
          </w:rPr>
          <w:t>.</w:t>
        </w:r>
        <w:r w:rsidRPr="00AC61FA">
          <w:rPr>
            <w:rStyle w:val="a6"/>
            <w:sz w:val="20"/>
            <w:szCs w:val="20"/>
            <w:lang w:val="en-US"/>
          </w:rPr>
          <w:t>ru</w:t>
        </w:r>
      </w:hyperlink>
    </w:p>
    <w:p w:rsidR="00F80CFE" w:rsidRPr="00AC61FA" w:rsidRDefault="00F80CFE" w:rsidP="00F80CFE">
      <w:pPr>
        <w:pStyle w:val="NoSpacing1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сайт: </w:t>
      </w:r>
      <w:hyperlink r:id="rId7" w:history="1">
        <w:r w:rsidRPr="00AC61FA">
          <w:rPr>
            <w:rStyle w:val="a6"/>
            <w:sz w:val="20"/>
            <w:szCs w:val="20"/>
          </w:rPr>
          <w:t>https://www.rosreestr.ru</w:t>
        </w:r>
      </w:hyperlink>
      <w:r w:rsidRPr="00AC61FA">
        <w:rPr>
          <w:rFonts w:ascii="Times New Roman" w:hAnsi="Times New Roman"/>
          <w:sz w:val="20"/>
          <w:szCs w:val="20"/>
        </w:rPr>
        <w:t xml:space="preserve"> </w:t>
      </w:r>
    </w:p>
    <w:p w:rsidR="00F80CFE" w:rsidRPr="005D585E" w:rsidRDefault="00F80CFE" w:rsidP="00F80CFE">
      <w:pPr>
        <w:pStyle w:val="NoSpacing1"/>
        <w:rPr>
          <w:rFonts w:ascii="Times New Roman" w:hAnsi="Times New Roman"/>
          <w:bCs/>
          <w:iCs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AC61FA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AC61FA">
        <w:rPr>
          <w:rFonts w:ascii="Times New Roman" w:hAnsi="Times New Roman"/>
          <w:sz w:val="20"/>
          <w:szCs w:val="20"/>
        </w:rPr>
        <w:t xml:space="preserve">» </w:t>
      </w:r>
      <w:r w:rsidRPr="00AC61FA">
        <w:rPr>
          <w:rFonts w:ascii="Times New Roman" w:hAnsi="Times New Roman"/>
          <w:i/>
          <w:sz w:val="20"/>
          <w:szCs w:val="20"/>
        </w:rPr>
        <w:t>http://vk.com/to24.rosreestr</w:t>
      </w:r>
    </w:p>
    <w:p w:rsid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Pr="00F80CFE" w:rsidRDefault="00F80CFE" w:rsidP="00F80CF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F80CFE" w:rsidRPr="00F80CFE" w:rsidRDefault="00F80CFE" w:rsidP="000B2239">
      <w:pPr>
        <w:pStyle w:val="a3"/>
        <w:rPr>
          <w:color w:val="auto"/>
          <w:sz w:val="20"/>
          <w:szCs w:val="20"/>
        </w:rPr>
      </w:pPr>
    </w:p>
    <w:p w:rsidR="0074665F" w:rsidRPr="003F7ABD" w:rsidRDefault="0074665F" w:rsidP="003F7ABD">
      <w:pPr>
        <w:pStyle w:val="2"/>
        <w:spacing w:after="0" w:line="240" w:lineRule="auto"/>
        <w:ind w:left="0" w:firstLine="510"/>
        <w:jc w:val="both"/>
        <w:rPr>
          <w:sz w:val="28"/>
          <w:szCs w:val="28"/>
        </w:rPr>
      </w:pPr>
    </w:p>
    <w:sectPr w:rsidR="0074665F" w:rsidRPr="003F7ABD" w:rsidSect="00F80CFE">
      <w:pgSz w:w="11906" w:h="16838"/>
      <w:pgMar w:top="1276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B2239"/>
    <w:rsid w:val="00007CBE"/>
    <w:rsid w:val="000115BC"/>
    <w:rsid w:val="000375C9"/>
    <w:rsid w:val="000B2239"/>
    <w:rsid w:val="000E10F7"/>
    <w:rsid w:val="00135669"/>
    <w:rsid w:val="00155570"/>
    <w:rsid w:val="0016419A"/>
    <w:rsid w:val="001A0297"/>
    <w:rsid w:val="001E0837"/>
    <w:rsid w:val="001E249E"/>
    <w:rsid w:val="00276DF0"/>
    <w:rsid w:val="002F0821"/>
    <w:rsid w:val="002F3B4C"/>
    <w:rsid w:val="003331E2"/>
    <w:rsid w:val="0035108D"/>
    <w:rsid w:val="003526B8"/>
    <w:rsid w:val="00380E23"/>
    <w:rsid w:val="003821CD"/>
    <w:rsid w:val="003C18C6"/>
    <w:rsid w:val="003C4939"/>
    <w:rsid w:val="003E11F9"/>
    <w:rsid w:val="003E4E90"/>
    <w:rsid w:val="003F7ABD"/>
    <w:rsid w:val="0040342D"/>
    <w:rsid w:val="00473470"/>
    <w:rsid w:val="004944BE"/>
    <w:rsid w:val="004A5A4A"/>
    <w:rsid w:val="00540B4E"/>
    <w:rsid w:val="00565E30"/>
    <w:rsid w:val="00590824"/>
    <w:rsid w:val="005E0291"/>
    <w:rsid w:val="0062168F"/>
    <w:rsid w:val="006B3CB1"/>
    <w:rsid w:val="006C386B"/>
    <w:rsid w:val="006E064A"/>
    <w:rsid w:val="0074665F"/>
    <w:rsid w:val="007538C5"/>
    <w:rsid w:val="007A26D6"/>
    <w:rsid w:val="007B269D"/>
    <w:rsid w:val="007B357C"/>
    <w:rsid w:val="007C0CF8"/>
    <w:rsid w:val="007D2781"/>
    <w:rsid w:val="008227A6"/>
    <w:rsid w:val="0087207E"/>
    <w:rsid w:val="00911B81"/>
    <w:rsid w:val="00916D33"/>
    <w:rsid w:val="00982BFB"/>
    <w:rsid w:val="009901E5"/>
    <w:rsid w:val="009B4EBC"/>
    <w:rsid w:val="00B40EC9"/>
    <w:rsid w:val="00B43852"/>
    <w:rsid w:val="00B63094"/>
    <w:rsid w:val="00BB4C80"/>
    <w:rsid w:val="00C558AE"/>
    <w:rsid w:val="00CA1360"/>
    <w:rsid w:val="00CF79C2"/>
    <w:rsid w:val="00D27A32"/>
    <w:rsid w:val="00D4099D"/>
    <w:rsid w:val="00D8245C"/>
    <w:rsid w:val="00D86A42"/>
    <w:rsid w:val="00DE6BB4"/>
    <w:rsid w:val="00E151CF"/>
    <w:rsid w:val="00E3402F"/>
    <w:rsid w:val="00E66F2E"/>
    <w:rsid w:val="00E75B90"/>
    <w:rsid w:val="00E828F6"/>
    <w:rsid w:val="00EE55B9"/>
    <w:rsid w:val="00EE5839"/>
    <w:rsid w:val="00F20FB3"/>
    <w:rsid w:val="00F30A02"/>
    <w:rsid w:val="00F636E9"/>
    <w:rsid w:val="00F671BE"/>
    <w:rsid w:val="00F80CFE"/>
    <w:rsid w:val="00FC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B2239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B223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1"/>
    <w:uiPriority w:val="99"/>
    <w:rsid w:val="000B2239"/>
    <w:pPr>
      <w:shd w:val="clear" w:color="auto" w:fill="FFFFFF"/>
      <w:jc w:val="both"/>
    </w:pPr>
    <w:rPr>
      <w:color w:val="000000"/>
      <w:sz w:val="28"/>
      <w:szCs w:val="28"/>
    </w:rPr>
  </w:style>
  <w:style w:type="character" w:customStyle="1" w:styleId="1">
    <w:name w:val="Основной текст Знак1"/>
    <w:basedOn w:val="a0"/>
    <w:link w:val="a3"/>
    <w:uiPriority w:val="99"/>
    <w:locked/>
    <w:rsid w:val="000B2239"/>
    <w:rPr>
      <w:rFonts w:ascii="Times New Roman" w:hAnsi="Times New Roman" w:cs="Times New Roman"/>
      <w:snapToGrid w:val="0"/>
      <w:color w:val="000000"/>
      <w:sz w:val="24"/>
      <w:szCs w:val="24"/>
      <w:shd w:val="clear" w:color="auto" w:fill="FFFFFF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22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"/>
    <w:basedOn w:val="a"/>
    <w:uiPriority w:val="99"/>
    <w:rsid w:val="00E75B90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C558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58AE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rsid w:val="00F80CFE"/>
    <w:rPr>
      <w:color w:val="0000FF"/>
      <w:u w:val="single"/>
    </w:rPr>
  </w:style>
  <w:style w:type="paragraph" w:customStyle="1" w:styleId="NoSpacing1">
    <w:name w:val="No Spacing1"/>
    <w:uiPriority w:val="99"/>
    <w:rsid w:val="00F80CF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a@r2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F55E0-EB54-433B-97BB-466BB0B1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381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lukjanovaiv</dc:creator>
  <cp:lastModifiedBy>KarvoevVA</cp:lastModifiedBy>
  <cp:revision>4</cp:revision>
  <cp:lastPrinted>2018-07-23T03:28:00Z</cp:lastPrinted>
  <dcterms:created xsi:type="dcterms:W3CDTF">2018-07-23T03:30:00Z</dcterms:created>
  <dcterms:modified xsi:type="dcterms:W3CDTF">2018-07-24T02:13:00Z</dcterms:modified>
</cp:coreProperties>
</file>