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C6" w:rsidRPr="00895CC6" w:rsidRDefault="001A7B08" w:rsidP="00895CC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CC6" w:rsidRPr="001F3039">
        <w:rPr>
          <w:rFonts w:ascii="Segoe UI" w:hAnsi="Segoe UI" w:cs="Segoe UI"/>
          <w:sz w:val="32"/>
          <w:szCs w:val="32"/>
        </w:rPr>
        <w:t xml:space="preserve">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22EBE" w:rsidRPr="00FC33E5" w:rsidRDefault="00122EBE" w:rsidP="00122EBE">
      <w:pPr>
        <w:jc w:val="center"/>
        <w:rPr>
          <w:rFonts w:ascii="Segoe UI" w:hAnsi="Segoe UI" w:cs="Segoe UI"/>
          <w:sz w:val="32"/>
          <w:szCs w:val="32"/>
        </w:rPr>
      </w:pPr>
      <w:r w:rsidRPr="00FC33E5">
        <w:rPr>
          <w:rFonts w:ascii="Segoe UI" w:hAnsi="Segoe UI" w:cs="Segoe UI"/>
          <w:sz w:val="32"/>
          <w:szCs w:val="32"/>
        </w:rPr>
        <w:t>Объединение ГКН и ЕГРП – масштабное слияние</w:t>
      </w:r>
    </w:p>
    <w:p w:rsidR="00D34E18" w:rsidRDefault="00D34E18" w:rsidP="00D34E18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рамках объединения </w:t>
      </w:r>
      <w:r w:rsidR="006B7C4A">
        <w:rPr>
          <w:rFonts w:ascii="Segoe UI" w:hAnsi="Segoe UI" w:cs="Segoe UI"/>
          <w:sz w:val="28"/>
          <w:szCs w:val="28"/>
        </w:rPr>
        <w:t>Г</w:t>
      </w:r>
      <w:r>
        <w:rPr>
          <w:rFonts w:ascii="Segoe UI" w:hAnsi="Segoe UI" w:cs="Segoe UI"/>
          <w:sz w:val="28"/>
          <w:szCs w:val="28"/>
        </w:rPr>
        <w:t xml:space="preserve">осударственного кадастра недвижимости (ГКН) и Единого государственного реестра прав (ЕГРП) в Управлении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 xml:space="preserve"> по Красноярскому краю </w:t>
      </w:r>
      <w:r w:rsidRPr="00FC33E5">
        <w:rPr>
          <w:rFonts w:ascii="Segoe UI" w:hAnsi="Segoe UI" w:cs="Segoe UI"/>
          <w:sz w:val="28"/>
          <w:szCs w:val="28"/>
        </w:rPr>
        <w:t xml:space="preserve">ведется работа </w:t>
      </w:r>
      <w:r w:rsidR="00063D40">
        <w:rPr>
          <w:rFonts w:ascii="Segoe UI" w:hAnsi="Segoe UI" w:cs="Segoe UI"/>
          <w:sz w:val="28"/>
          <w:szCs w:val="28"/>
        </w:rPr>
        <w:t xml:space="preserve">по сопоставлению данных ЕГРП и </w:t>
      </w:r>
      <w:r w:rsidRPr="00FC33E5">
        <w:rPr>
          <w:rFonts w:ascii="Segoe UI" w:hAnsi="Segoe UI" w:cs="Segoe UI"/>
          <w:sz w:val="28"/>
          <w:szCs w:val="28"/>
        </w:rPr>
        <w:t>Г</w:t>
      </w:r>
      <w:r w:rsidR="00063D40">
        <w:rPr>
          <w:rFonts w:ascii="Segoe UI" w:hAnsi="Segoe UI" w:cs="Segoe UI"/>
          <w:sz w:val="28"/>
          <w:szCs w:val="28"/>
        </w:rPr>
        <w:t>К</w:t>
      </w:r>
      <w:r w:rsidRPr="00FC33E5">
        <w:rPr>
          <w:rFonts w:ascii="Segoe UI" w:hAnsi="Segoe UI" w:cs="Segoe UI"/>
          <w:sz w:val="28"/>
          <w:szCs w:val="28"/>
        </w:rPr>
        <w:t xml:space="preserve">Н. </w:t>
      </w:r>
    </w:p>
    <w:p w:rsidR="00D34E18" w:rsidRDefault="00D34E18" w:rsidP="00D34E18">
      <w:pPr>
        <w:jc w:val="both"/>
        <w:rPr>
          <w:rFonts w:ascii="Segoe UI" w:hAnsi="Segoe UI" w:cs="Segoe UI"/>
          <w:sz w:val="28"/>
          <w:szCs w:val="28"/>
        </w:rPr>
      </w:pPr>
      <w:r w:rsidRPr="00FC33E5">
        <w:rPr>
          <w:rFonts w:ascii="Segoe UI" w:hAnsi="Segoe UI" w:cs="Segoe UI"/>
          <w:sz w:val="28"/>
          <w:szCs w:val="28"/>
        </w:rPr>
        <w:t>Регуля</w:t>
      </w:r>
      <w:r>
        <w:rPr>
          <w:rFonts w:ascii="Segoe UI" w:hAnsi="Segoe UI" w:cs="Segoe UI"/>
          <w:sz w:val="28"/>
          <w:szCs w:val="28"/>
        </w:rPr>
        <w:t xml:space="preserve">рно проводятся </w:t>
      </w:r>
      <w:r w:rsidR="006B7C4A">
        <w:rPr>
          <w:rFonts w:ascii="Segoe UI" w:hAnsi="Segoe UI" w:cs="Segoe UI"/>
          <w:sz w:val="28"/>
          <w:szCs w:val="28"/>
        </w:rPr>
        <w:t>заседания рабочих групп</w:t>
      </w:r>
      <w:r w:rsidRPr="00FC33E5">
        <w:rPr>
          <w:rFonts w:ascii="Segoe UI" w:hAnsi="Segoe UI" w:cs="Segoe UI"/>
          <w:sz w:val="28"/>
          <w:szCs w:val="28"/>
        </w:rPr>
        <w:t xml:space="preserve"> по верификации данных ЕГРП и ГКН, где анализируются </w:t>
      </w:r>
      <w:r w:rsidRPr="00567156">
        <w:rPr>
          <w:rFonts w:ascii="Segoe UI" w:hAnsi="Segoe UI" w:cs="Segoe UI"/>
          <w:sz w:val="28"/>
          <w:szCs w:val="28"/>
        </w:rPr>
        <w:t>сведения, содержащиеся</w:t>
      </w:r>
      <w:r w:rsidRPr="00FC33E5">
        <w:rPr>
          <w:rFonts w:ascii="Segoe UI" w:hAnsi="Segoe UI" w:cs="Segoe UI"/>
          <w:sz w:val="28"/>
          <w:szCs w:val="28"/>
        </w:rPr>
        <w:t xml:space="preserve"> в </w:t>
      </w:r>
      <w:r w:rsidR="00895CC6">
        <w:rPr>
          <w:rFonts w:ascii="Segoe UI" w:hAnsi="Segoe UI" w:cs="Segoe UI"/>
          <w:sz w:val="28"/>
          <w:szCs w:val="28"/>
        </w:rPr>
        <w:t>двух</w:t>
      </w:r>
      <w:r w:rsidR="001F3039" w:rsidRPr="001F3039">
        <w:rPr>
          <w:rFonts w:ascii="Segoe UI" w:hAnsi="Segoe UI" w:cs="Segoe UI"/>
          <w:sz w:val="28"/>
          <w:szCs w:val="28"/>
        </w:rPr>
        <w:t xml:space="preserve"> </w:t>
      </w:r>
      <w:r w:rsidR="001F3039">
        <w:rPr>
          <w:rFonts w:ascii="Segoe UI" w:hAnsi="Segoe UI" w:cs="Segoe UI"/>
          <w:sz w:val="28"/>
          <w:szCs w:val="28"/>
        </w:rPr>
        <w:t>базах</w:t>
      </w:r>
      <w:r w:rsidRPr="00FC33E5">
        <w:rPr>
          <w:rFonts w:ascii="Segoe UI" w:hAnsi="Segoe UI" w:cs="Segoe UI"/>
          <w:sz w:val="28"/>
          <w:szCs w:val="28"/>
        </w:rPr>
        <w:t xml:space="preserve">. </w:t>
      </w:r>
    </w:p>
    <w:p w:rsidR="00D34E18" w:rsidRDefault="00D34E18" w:rsidP="00D34E18">
      <w:pPr>
        <w:jc w:val="both"/>
        <w:rPr>
          <w:rFonts w:ascii="Segoe UI" w:hAnsi="Segoe UI" w:cs="Segoe UI"/>
          <w:sz w:val="28"/>
          <w:szCs w:val="28"/>
        </w:rPr>
      </w:pPr>
      <w:r w:rsidRPr="00FC33E5">
        <w:rPr>
          <w:rFonts w:ascii="Segoe UI" w:hAnsi="Segoe UI" w:cs="Segoe UI"/>
          <w:sz w:val="28"/>
          <w:szCs w:val="28"/>
        </w:rPr>
        <w:t>В случае выявленных несоответствий вносятся изменения в сведения</w:t>
      </w:r>
      <w:r w:rsidR="006B7C4A">
        <w:rPr>
          <w:rFonts w:ascii="Segoe UI" w:hAnsi="Segoe UI" w:cs="Segoe UI"/>
          <w:sz w:val="28"/>
          <w:szCs w:val="28"/>
        </w:rPr>
        <w:t xml:space="preserve"> ЕГРП и </w:t>
      </w:r>
      <w:r w:rsidRPr="00FC33E5">
        <w:rPr>
          <w:rFonts w:ascii="Segoe UI" w:hAnsi="Segoe UI" w:cs="Segoe UI"/>
          <w:sz w:val="28"/>
          <w:szCs w:val="28"/>
        </w:rPr>
        <w:t>Г</w:t>
      </w:r>
      <w:r w:rsidR="006B7C4A">
        <w:rPr>
          <w:rFonts w:ascii="Segoe UI" w:hAnsi="Segoe UI" w:cs="Segoe UI"/>
          <w:sz w:val="28"/>
          <w:szCs w:val="28"/>
        </w:rPr>
        <w:t>К</w:t>
      </w:r>
      <w:r w:rsidRPr="00FC33E5">
        <w:rPr>
          <w:rFonts w:ascii="Segoe UI" w:hAnsi="Segoe UI" w:cs="Segoe UI"/>
          <w:sz w:val="28"/>
          <w:szCs w:val="28"/>
        </w:rPr>
        <w:t>Н об основных характеристиках объекта недвижимости</w:t>
      </w:r>
      <w:r w:rsidR="00895CC6" w:rsidRPr="00895CC6">
        <w:rPr>
          <w:rFonts w:ascii="Segoe UI" w:hAnsi="Segoe UI" w:cs="Segoe UI"/>
          <w:sz w:val="28"/>
          <w:szCs w:val="28"/>
        </w:rPr>
        <w:t>:</w:t>
      </w:r>
      <w:r w:rsidR="00895CC6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C33E5">
        <w:rPr>
          <w:rFonts w:ascii="Segoe UI" w:hAnsi="Segoe UI" w:cs="Segoe UI"/>
          <w:sz w:val="28"/>
          <w:szCs w:val="28"/>
        </w:rPr>
        <w:t>адрес месторасположения, кадастровый номер, этажность, площадь</w:t>
      </w:r>
      <w:r w:rsidR="001F3039">
        <w:rPr>
          <w:rFonts w:ascii="Segoe UI" w:hAnsi="Segoe UI" w:cs="Segoe UI"/>
          <w:sz w:val="28"/>
          <w:szCs w:val="28"/>
        </w:rPr>
        <w:t>, вид объекта</w:t>
      </w:r>
      <w:r w:rsidRPr="00FC33E5">
        <w:rPr>
          <w:rFonts w:ascii="Segoe UI" w:hAnsi="Segoe UI" w:cs="Segoe UI"/>
          <w:sz w:val="28"/>
          <w:szCs w:val="28"/>
        </w:rPr>
        <w:t xml:space="preserve"> и т.д.</w:t>
      </w:r>
    </w:p>
    <w:p w:rsidR="00D34E18" w:rsidRPr="00444852" w:rsidRDefault="00D34E18" w:rsidP="00D34E18">
      <w:pPr>
        <w:jc w:val="both"/>
        <w:rPr>
          <w:rFonts w:ascii="Segoe UI" w:hAnsi="Segoe UI" w:cs="Segoe UI"/>
          <w:sz w:val="28"/>
          <w:szCs w:val="28"/>
        </w:rPr>
      </w:pPr>
      <w:r w:rsidRPr="00FC33E5">
        <w:rPr>
          <w:rFonts w:ascii="Segoe UI" w:hAnsi="Segoe UI" w:cs="Segoe UI"/>
          <w:sz w:val="28"/>
          <w:szCs w:val="28"/>
        </w:rPr>
        <w:t>После внесения изменений правообладателю направляется письменное уведомление об изменениях характеристик объекта недвижимости и</w:t>
      </w:r>
      <w:r>
        <w:rPr>
          <w:rFonts w:ascii="Segoe UI" w:hAnsi="Segoe UI" w:cs="Segoe UI"/>
          <w:sz w:val="28"/>
          <w:szCs w:val="28"/>
        </w:rPr>
        <w:t xml:space="preserve"> их причинах</w:t>
      </w:r>
      <w:r w:rsidRPr="00FC33E5">
        <w:rPr>
          <w:rFonts w:ascii="Segoe UI" w:hAnsi="Segoe UI" w:cs="Segoe UI"/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444852">
        <w:rPr>
          <w:rFonts w:ascii="Segoe UI" w:hAnsi="Segoe UI" w:cs="Segoe UI"/>
          <w:sz w:val="28"/>
          <w:szCs w:val="28"/>
        </w:rPr>
        <w:t xml:space="preserve">Это означает, что сопоставление данных происходит </w:t>
      </w:r>
      <w:r w:rsidR="00796734" w:rsidRPr="00444852">
        <w:rPr>
          <w:rFonts w:ascii="Segoe UI" w:hAnsi="Segoe UI" w:cs="Segoe UI"/>
          <w:sz w:val="28"/>
          <w:szCs w:val="28"/>
        </w:rPr>
        <w:t>без личного участия гражданина</w:t>
      </w:r>
      <w:r w:rsidR="00751F19" w:rsidRPr="00444852">
        <w:rPr>
          <w:rFonts w:ascii="Segoe UI" w:hAnsi="Segoe UI" w:cs="Segoe UI"/>
          <w:sz w:val="28"/>
          <w:szCs w:val="28"/>
        </w:rPr>
        <w:t xml:space="preserve">, тем самым </w:t>
      </w:r>
      <w:r w:rsidR="00796734" w:rsidRPr="00444852">
        <w:rPr>
          <w:rFonts w:ascii="Segoe UI" w:hAnsi="Segoe UI" w:cs="Segoe UI"/>
          <w:sz w:val="28"/>
          <w:szCs w:val="28"/>
        </w:rPr>
        <w:t xml:space="preserve"> не требует </w:t>
      </w:r>
      <w:r w:rsidR="00751F19" w:rsidRPr="00444852">
        <w:rPr>
          <w:rFonts w:ascii="Segoe UI" w:hAnsi="Segoe UI" w:cs="Segoe UI"/>
          <w:sz w:val="28"/>
          <w:szCs w:val="28"/>
        </w:rPr>
        <w:t xml:space="preserve">от него временных или материальных затрат. </w:t>
      </w:r>
      <w:r w:rsidRPr="00444852">
        <w:rPr>
          <w:rFonts w:ascii="Segoe UI" w:hAnsi="Segoe UI" w:cs="Segoe UI"/>
          <w:sz w:val="28"/>
          <w:szCs w:val="28"/>
        </w:rPr>
        <w:t xml:space="preserve">Стоит учесть, что записи о государственной регистрации прав на объекты недвижимости остаются актуальными. </w:t>
      </w:r>
    </w:p>
    <w:p w:rsidR="00D34E18" w:rsidRPr="00444852" w:rsidRDefault="00D34E18" w:rsidP="00D34E18">
      <w:pPr>
        <w:jc w:val="both"/>
        <w:rPr>
          <w:rFonts w:ascii="Segoe UI" w:hAnsi="Segoe UI" w:cs="Segoe UI"/>
          <w:sz w:val="28"/>
          <w:szCs w:val="28"/>
        </w:rPr>
      </w:pPr>
      <w:r w:rsidRPr="00444852">
        <w:rPr>
          <w:rFonts w:ascii="Segoe UI" w:hAnsi="Segoe UI" w:cs="Segoe UI"/>
          <w:sz w:val="28"/>
          <w:szCs w:val="28"/>
        </w:rPr>
        <w:t>Еженедельно на заседании рабочей груп</w:t>
      </w:r>
      <w:r w:rsidR="006B7C4A">
        <w:rPr>
          <w:rFonts w:ascii="Segoe UI" w:hAnsi="Segoe UI" w:cs="Segoe UI"/>
          <w:sz w:val="28"/>
          <w:szCs w:val="28"/>
        </w:rPr>
        <w:t>пы тщательно анализируется более</w:t>
      </w:r>
      <w:r w:rsidRPr="00444852">
        <w:rPr>
          <w:rFonts w:ascii="Segoe UI" w:hAnsi="Segoe UI" w:cs="Segoe UI"/>
          <w:sz w:val="28"/>
          <w:szCs w:val="28"/>
        </w:rPr>
        <w:t xml:space="preserve"> 50 объектов недвижимости. </w:t>
      </w:r>
    </w:p>
    <w:p w:rsidR="00D34E18" w:rsidRPr="00634EEF" w:rsidRDefault="00D34E18" w:rsidP="00D34E18">
      <w:pPr>
        <w:jc w:val="both"/>
        <w:rPr>
          <w:rFonts w:ascii="Segoe UI" w:eastAsia="Calibri" w:hAnsi="Segoe UI" w:cs="Segoe UI"/>
          <w:b/>
          <w:sz w:val="28"/>
          <w:szCs w:val="28"/>
        </w:rPr>
      </w:pPr>
      <w:r w:rsidRPr="00444852">
        <w:rPr>
          <w:rFonts w:ascii="Segoe UI" w:hAnsi="Segoe UI" w:cs="Segoe UI"/>
          <w:sz w:val="28"/>
          <w:szCs w:val="28"/>
        </w:rPr>
        <w:t>Всего в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FC33E5">
        <w:rPr>
          <w:rFonts w:ascii="Segoe UI" w:eastAsia="Calibri" w:hAnsi="Segoe UI" w:cs="Segoe UI"/>
          <w:sz w:val="28"/>
          <w:szCs w:val="28"/>
        </w:rPr>
        <w:t>2015 год</w:t>
      </w:r>
      <w:r>
        <w:rPr>
          <w:rFonts w:ascii="Segoe UI" w:hAnsi="Segoe UI" w:cs="Segoe UI"/>
          <w:sz w:val="28"/>
          <w:szCs w:val="28"/>
        </w:rPr>
        <w:t>у Управлением</w:t>
      </w:r>
      <w:r w:rsidRPr="00FC33E5">
        <w:rPr>
          <w:rFonts w:ascii="Segoe UI" w:eastAsia="Calibri" w:hAnsi="Segoe UI" w:cs="Segoe UI"/>
          <w:sz w:val="28"/>
          <w:szCs w:val="28"/>
        </w:rPr>
        <w:t xml:space="preserve">  проанализировано более 400 тысяч записей</w:t>
      </w:r>
      <w:r w:rsidRPr="00FC33E5">
        <w:rPr>
          <w:rFonts w:ascii="Segoe UI" w:hAnsi="Segoe UI" w:cs="Segoe UI"/>
          <w:sz w:val="28"/>
          <w:szCs w:val="28"/>
        </w:rPr>
        <w:t xml:space="preserve"> в </w:t>
      </w:r>
      <w:proofErr w:type="gramStart"/>
      <w:r w:rsidRPr="00FC33E5">
        <w:rPr>
          <w:rFonts w:ascii="Segoe UI" w:hAnsi="Segoe UI" w:cs="Segoe UI"/>
          <w:sz w:val="28"/>
          <w:szCs w:val="28"/>
        </w:rPr>
        <w:t>базах</w:t>
      </w:r>
      <w:proofErr w:type="gramEnd"/>
      <w:r w:rsidRPr="00FC33E5">
        <w:rPr>
          <w:rFonts w:ascii="Segoe UI" w:hAnsi="Segoe UI" w:cs="Segoe UI"/>
          <w:sz w:val="28"/>
          <w:szCs w:val="28"/>
        </w:rPr>
        <w:t xml:space="preserve"> данных</w:t>
      </w:r>
      <w:r w:rsidRPr="00FC33E5">
        <w:rPr>
          <w:rFonts w:ascii="Segoe UI" w:eastAsia="Calibri" w:hAnsi="Segoe UI" w:cs="Segoe UI"/>
          <w:sz w:val="28"/>
          <w:szCs w:val="28"/>
        </w:rPr>
        <w:t>, в настоящее время на рассмотрении остается ок</w:t>
      </w:r>
      <w:r w:rsidR="001F3039">
        <w:rPr>
          <w:rFonts w:ascii="Segoe UI" w:eastAsia="Calibri" w:hAnsi="Segoe UI" w:cs="Segoe UI"/>
          <w:sz w:val="28"/>
          <w:szCs w:val="28"/>
        </w:rPr>
        <w:t>оло 25</w:t>
      </w:r>
      <w:r w:rsidRPr="00FC33E5">
        <w:rPr>
          <w:rFonts w:ascii="Segoe UI" w:eastAsia="Calibri" w:hAnsi="Segoe UI" w:cs="Segoe UI"/>
          <w:sz w:val="28"/>
          <w:szCs w:val="28"/>
        </w:rPr>
        <w:t xml:space="preserve"> тысяч объектов, требующих детального и всестороннего анализа имеющихся документов.</w:t>
      </w:r>
      <w:r>
        <w:rPr>
          <w:rFonts w:ascii="Segoe UI" w:eastAsia="Calibri" w:hAnsi="Segoe UI" w:cs="Segoe UI"/>
          <w:sz w:val="28"/>
          <w:szCs w:val="28"/>
        </w:rPr>
        <w:t xml:space="preserve"> </w:t>
      </w:r>
    </w:p>
    <w:p w:rsidR="00122EBE" w:rsidRDefault="00122EBE" w:rsidP="00122EBE">
      <w:pPr>
        <w:jc w:val="both"/>
        <w:rPr>
          <w:rFonts w:ascii="Segoe UI" w:hAnsi="Segoe UI" w:cs="Segoe UI"/>
          <w:sz w:val="28"/>
          <w:szCs w:val="28"/>
        </w:rPr>
      </w:pPr>
      <w:r w:rsidRPr="00FC33E5">
        <w:rPr>
          <w:rFonts w:ascii="Segoe UI" w:hAnsi="Segoe UI" w:cs="Segoe UI"/>
          <w:sz w:val="28"/>
          <w:szCs w:val="28"/>
        </w:rPr>
        <w:t xml:space="preserve">С </w:t>
      </w:r>
      <w:r w:rsidR="00063D40">
        <w:rPr>
          <w:rFonts w:ascii="Segoe UI" w:hAnsi="Segoe UI" w:cs="Segoe UI"/>
          <w:sz w:val="28"/>
          <w:szCs w:val="28"/>
        </w:rPr>
        <w:t>2017 года ГКН и ЕГРП буду</w:t>
      </w:r>
      <w:r w:rsidR="006B7C4A">
        <w:rPr>
          <w:rFonts w:ascii="Segoe UI" w:hAnsi="Segoe UI" w:cs="Segoe UI"/>
          <w:sz w:val="28"/>
          <w:szCs w:val="28"/>
        </w:rPr>
        <w:t>т объединен</w:t>
      </w:r>
      <w:r w:rsidR="00063D40">
        <w:rPr>
          <w:rFonts w:ascii="Segoe UI" w:hAnsi="Segoe UI" w:cs="Segoe UI"/>
          <w:sz w:val="28"/>
          <w:szCs w:val="28"/>
        </w:rPr>
        <w:t>ы</w:t>
      </w:r>
      <w:r w:rsidRPr="00FC33E5">
        <w:rPr>
          <w:rFonts w:ascii="Segoe UI" w:hAnsi="Segoe UI" w:cs="Segoe UI"/>
          <w:sz w:val="28"/>
          <w:szCs w:val="28"/>
        </w:rPr>
        <w:t xml:space="preserve"> в Единый государственный реестр объектов недвижимости</w:t>
      </w:r>
      <w:r>
        <w:rPr>
          <w:rFonts w:ascii="Segoe UI" w:hAnsi="Segoe UI" w:cs="Segoe UI"/>
          <w:sz w:val="28"/>
          <w:szCs w:val="28"/>
        </w:rPr>
        <w:t xml:space="preserve"> (ЕГРН)</w:t>
      </w:r>
      <w:r w:rsidRPr="00FC33E5">
        <w:rPr>
          <w:rFonts w:ascii="Segoe UI" w:hAnsi="Segoe UI" w:cs="Segoe UI"/>
          <w:sz w:val="28"/>
          <w:szCs w:val="28"/>
        </w:rPr>
        <w:t xml:space="preserve">. Такое слияние позволит создать </w:t>
      </w:r>
      <w:r>
        <w:rPr>
          <w:rFonts w:ascii="Segoe UI" w:hAnsi="Segoe UI" w:cs="Segoe UI"/>
          <w:sz w:val="28"/>
          <w:szCs w:val="28"/>
        </w:rPr>
        <w:lastRenderedPageBreak/>
        <w:t xml:space="preserve">общую </w:t>
      </w:r>
      <w:r w:rsidRPr="00FC33E5">
        <w:rPr>
          <w:rFonts w:ascii="Segoe UI" w:hAnsi="Segoe UI" w:cs="Segoe UI"/>
          <w:sz w:val="28"/>
          <w:szCs w:val="28"/>
        </w:rPr>
        <w:t xml:space="preserve">базу данных, которая включит в себя сведения </w:t>
      </w:r>
      <w:r>
        <w:rPr>
          <w:rFonts w:ascii="Segoe UI" w:hAnsi="Segoe UI" w:cs="Segoe UI"/>
          <w:sz w:val="28"/>
          <w:szCs w:val="28"/>
        </w:rPr>
        <w:t>о</w:t>
      </w:r>
      <w:r w:rsidR="001F3039">
        <w:rPr>
          <w:rFonts w:ascii="Segoe UI" w:hAnsi="Segoe UI" w:cs="Segoe UI"/>
          <w:sz w:val="28"/>
          <w:szCs w:val="28"/>
        </w:rPr>
        <w:t>б объектах недвижимости (</w:t>
      </w:r>
      <w:r>
        <w:rPr>
          <w:rFonts w:ascii="Segoe UI" w:hAnsi="Segoe UI" w:cs="Segoe UI"/>
          <w:sz w:val="28"/>
          <w:szCs w:val="28"/>
        </w:rPr>
        <w:t xml:space="preserve">квартирах, </w:t>
      </w:r>
      <w:r w:rsidR="001F3039">
        <w:rPr>
          <w:rFonts w:ascii="Segoe UI" w:hAnsi="Segoe UI" w:cs="Segoe UI"/>
          <w:sz w:val="28"/>
          <w:szCs w:val="28"/>
        </w:rPr>
        <w:t>зданиях, сооружениях, объектах незавершенного строительства, земельных участках)</w:t>
      </w:r>
      <w:r>
        <w:rPr>
          <w:rFonts w:ascii="Segoe UI" w:hAnsi="Segoe UI" w:cs="Segoe UI"/>
          <w:sz w:val="28"/>
          <w:szCs w:val="28"/>
        </w:rPr>
        <w:t xml:space="preserve">. Это означает, что поставить объект недвижимости на кадастровый учет или оформить права собственности станет значительно быстрее. </w:t>
      </w:r>
      <w:r w:rsidR="006B7C4A">
        <w:rPr>
          <w:rFonts w:ascii="Segoe UI" w:hAnsi="Segoe UI" w:cs="Segoe UI"/>
          <w:sz w:val="28"/>
          <w:szCs w:val="28"/>
        </w:rPr>
        <w:t>Кроме того, Е</w:t>
      </w:r>
      <w:r w:rsidR="00634EEF">
        <w:rPr>
          <w:rFonts w:ascii="Segoe UI" w:hAnsi="Segoe UI" w:cs="Segoe UI"/>
          <w:sz w:val="28"/>
          <w:szCs w:val="28"/>
        </w:rPr>
        <w:t>диный реестр позволит снизить риски операций на рынке недвижимости и повысить гарантии зарегистрированных прав.</w:t>
      </w:r>
    </w:p>
    <w:p w:rsidR="000729D1" w:rsidRDefault="00D16470" w:rsidP="00122EBE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Стоит отметить, что д</w:t>
      </w:r>
      <w:r w:rsidR="00444852">
        <w:rPr>
          <w:rFonts w:ascii="Segoe UI" w:hAnsi="Segoe UI" w:cs="Segoe UI"/>
          <w:sz w:val="28"/>
          <w:szCs w:val="28"/>
        </w:rPr>
        <w:t xml:space="preserve">олгое время учет объектов недвижимости осуществлялся в разных реестрах, поэтому создание общей и точной базы </w:t>
      </w:r>
      <w:r w:rsidR="001F3039">
        <w:rPr>
          <w:rFonts w:ascii="Segoe UI" w:hAnsi="Segoe UI" w:cs="Segoe UI"/>
          <w:sz w:val="28"/>
          <w:szCs w:val="28"/>
        </w:rPr>
        <w:t xml:space="preserve">- </w:t>
      </w:r>
      <w:r w:rsidR="00444852">
        <w:rPr>
          <w:rFonts w:ascii="Segoe UI" w:hAnsi="Segoe UI" w:cs="Segoe UI"/>
          <w:sz w:val="28"/>
          <w:szCs w:val="28"/>
        </w:rPr>
        <w:t>гранд</w:t>
      </w:r>
      <w:r w:rsidR="00063D40">
        <w:rPr>
          <w:rFonts w:ascii="Segoe UI" w:hAnsi="Segoe UI" w:cs="Segoe UI"/>
          <w:sz w:val="28"/>
          <w:szCs w:val="28"/>
        </w:rPr>
        <w:t>иозный шаг, направленный на повы</w:t>
      </w:r>
      <w:r w:rsidR="00444852">
        <w:rPr>
          <w:rFonts w:ascii="Segoe UI" w:hAnsi="Segoe UI" w:cs="Segoe UI"/>
          <w:sz w:val="28"/>
          <w:szCs w:val="28"/>
        </w:rPr>
        <w:t xml:space="preserve">шение качества услуг </w:t>
      </w:r>
      <w:proofErr w:type="spellStart"/>
      <w:r w:rsidR="0044485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444852">
        <w:rPr>
          <w:rFonts w:ascii="Segoe UI" w:hAnsi="Segoe UI" w:cs="Segoe UI"/>
          <w:sz w:val="28"/>
          <w:szCs w:val="28"/>
        </w:rPr>
        <w:t>.</w:t>
      </w:r>
    </w:p>
    <w:p w:rsidR="00122EBE" w:rsidRPr="00FC33E5" w:rsidRDefault="00122EBE" w:rsidP="00122EBE">
      <w:pPr>
        <w:jc w:val="both"/>
        <w:rPr>
          <w:rFonts w:ascii="Segoe UI" w:eastAsia="Calibri" w:hAnsi="Segoe UI" w:cs="Segoe UI"/>
          <w:sz w:val="28"/>
          <w:szCs w:val="28"/>
        </w:rPr>
      </w:pPr>
      <w:r w:rsidRPr="00FC33E5">
        <w:rPr>
          <w:rFonts w:ascii="Segoe UI" w:hAnsi="Segoe UI" w:cs="Segoe UI"/>
          <w:sz w:val="28"/>
          <w:szCs w:val="28"/>
        </w:rPr>
        <w:t>Масштабное слияние близится к финалу.</w:t>
      </w:r>
    </w:p>
    <w:p w:rsidR="00122EBE" w:rsidRPr="001C6808" w:rsidRDefault="00122EBE" w:rsidP="00122EB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Справка</w:t>
      </w:r>
      <w:r w:rsidRPr="00122E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F90523" w:rsidRDefault="00F90523" w:rsidP="00F90523">
      <w:pPr>
        <w:jc w:val="both"/>
        <w:rPr>
          <w:rFonts w:ascii="Segoe UI" w:hAnsi="Segoe UI" w:cs="Segoe UI"/>
          <w:sz w:val="28"/>
          <w:szCs w:val="28"/>
        </w:rPr>
      </w:pPr>
      <w:r w:rsidRPr="001C6808">
        <w:rPr>
          <w:rFonts w:ascii="Segoe UI" w:hAnsi="Segoe UI" w:cs="Segoe UI"/>
          <w:i/>
          <w:sz w:val="28"/>
          <w:szCs w:val="28"/>
        </w:rPr>
        <w:t>Единый государственный реестр прав на недвижимое имущество и сделок с ним (ЕГРП)</w:t>
      </w:r>
      <w:r w:rsidRPr="001C6808">
        <w:rPr>
          <w:rFonts w:ascii="Segoe UI" w:hAnsi="Segoe UI" w:cs="Segoe UI"/>
          <w:b/>
          <w:i/>
          <w:sz w:val="28"/>
          <w:szCs w:val="28"/>
        </w:rPr>
        <w:t xml:space="preserve"> </w:t>
      </w:r>
      <w:r w:rsidRPr="001C6808">
        <w:rPr>
          <w:rFonts w:ascii="Segoe UI" w:hAnsi="Segoe UI" w:cs="Segoe UI"/>
          <w:sz w:val="28"/>
          <w:szCs w:val="28"/>
        </w:rPr>
        <w:t>– базовый государственный информационный ресурс, который содержит данные о существующих и прекращенных правах на объекты недвижимого имущества, данные об объектах недвижимого имущества и сведения о правообладателях.</w:t>
      </w:r>
    </w:p>
    <w:p w:rsidR="00895CC6" w:rsidRPr="00895CC6" w:rsidRDefault="00122EBE" w:rsidP="00895CC6">
      <w:pPr>
        <w:jc w:val="both"/>
        <w:rPr>
          <w:rFonts w:ascii="Segoe UI" w:hAnsi="Segoe UI" w:cs="Segoe UI"/>
          <w:sz w:val="28"/>
          <w:szCs w:val="28"/>
        </w:rPr>
      </w:pPr>
      <w:r w:rsidRPr="001C6808">
        <w:rPr>
          <w:rFonts w:ascii="Segoe UI" w:hAnsi="Segoe UI" w:cs="Segoe UI"/>
          <w:i/>
          <w:sz w:val="28"/>
          <w:szCs w:val="28"/>
        </w:rPr>
        <w:t>Государственный кадастр недвижимости (ГКН)</w:t>
      </w:r>
      <w:r w:rsidRPr="001C6808">
        <w:rPr>
          <w:rFonts w:ascii="Segoe UI" w:hAnsi="Segoe UI" w:cs="Segoe UI"/>
          <w:sz w:val="28"/>
          <w:szCs w:val="28"/>
        </w:rPr>
        <w:t xml:space="preserve"> является систематизированным сводом сведений об учтенном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населенных пунктов, о территориальных зонах и зонах с особыми условиями использования территорий, иных предусмотренных законом сведений. Государственный кадастр недвижимости является федеральным государственным информационным ресурсом.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 xml:space="preserve">Пресс-служба Управления 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proofErr w:type="spellStart"/>
      <w:r w:rsidRPr="00895CC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95CC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>(391) 2- 524-367</w:t>
      </w:r>
      <w:r w:rsidRPr="00895CC6">
        <w:rPr>
          <w:rFonts w:ascii="Segoe UI" w:hAnsi="Segoe UI" w:cs="Segoe UI"/>
          <w:sz w:val="18"/>
          <w:szCs w:val="18"/>
        </w:rPr>
        <w:br/>
        <w:t>(391) 2- 524-356</w:t>
      </w:r>
    </w:p>
    <w:p w:rsidR="00895CC6" w:rsidRPr="00895CC6" w:rsidRDefault="00895CC6" w:rsidP="00895CC6">
      <w:pPr>
        <w:pStyle w:val="a8"/>
        <w:rPr>
          <w:rFonts w:ascii="Segoe UI" w:hAnsi="Segoe UI" w:cs="Segoe UI"/>
          <w:sz w:val="18"/>
          <w:szCs w:val="18"/>
        </w:rPr>
      </w:pPr>
      <w:r w:rsidRPr="00895CC6">
        <w:rPr>
          <w:rFonts w:ascii="Segoe UI" w:hAnsi="Segoe UI" w:cs="Segoe UI"/>
          <w:sz w:val="18"/>
          <w:szCs w:val="18"/>
        </w:rPr>
        <w:t>Страница «</w:t>
      </w:r>
      <w:proofErr w:type="spellStart"/>
      <w:r w:rsidRPr="00895CC6">
        <w:rPr>
          <w:rFonts w:ascii="Segoe UI" w:hAnsi="Segoe UI" w:cs="Segoe UI"/>
          <w:sz w:val="18"/>
          <w:szCs w:val="18"/>
        </w:rPr>
        <w:t>ВКонтакте</w:t>
      </w:r>
      <w:proofErr w:type="spellEnd"/>
      <w:r w:rsidRPr="00895CC6">
        <w:rPr>
          <w:rFonts w:ascii="Segoe UI" w:hAnsi="Segoe UI" w:cs="Segoe UI"/>
          <w:sz w:val="18"/>
          <w:szCs w:val="18"/>
        </w:rPr>
        <w:t xml:space="preserve">»: </w:t>
      </w:r>
      <w:hyperlink r:id="rId5" w:history="1">
        <w:r w:rsidRPr="00895CC6">
          <w:rPr>
            <w:rStyle w:val="a7"/>
            <w:rFonts w:ascii="Segoe UI" w:hAnsi="Segoe UI" w:cs="Segoe UI"/>
            <w:sz w:val="18"/>
            <w:szCs w:val="18"/>
          </w:rPr>
          <w:t>https://vk.com/to24.rosreestr</w:t>
        </w:r>
      </w:hyperlink>
    </w:p>
    <w:p w:rsidR="00122EBE" w:rsidRPr="001F3039" w:rsidRDefault="00122EBE"/>
    <w:sectPr w:rsidR="00122EBE" w:rsidRPr="001F3039" w:rsidSect="001A7B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112"/>
    <w:rsid w:val="00063D40"/>
    <w:rsid w:val="000729D1"/>
    <w:rsid w:val="000F7D9A"/>
    <w:rsid w:val="00122EBE"/>
    <w:rsid w:val="001A7B08"/>
    <w:rsid w:val="001C6808"/>
    <w:rsid w:val="001F3039"/>
    <w:rsid w:val="00266A0C"/>
    <w:rsid w:val="0037095E"/>
    <w:rsid w:val="00444852"/>
    <w:rsid w:val="00567156"/>
    <w:rsid w:val="00623C6A"/>
    <w:rsid w:val="00634EEF"/>
    <w:rsid w:val="00690C6F"/>
    <w:rsid w:val="006B7C4A"/>
    <w:rsid w:val="00751F19"/>
    <w:rsid w:val="00796734"/>
    <w:rsid w:val="007D7B13"/>
    <w:rsid w:val="00853EA4"/>
    <w:rsid w:val="00895CC6"/>
    <w:rsid w:val="009B08E8"/>
    <w:rsid w:val="009C7B15"/>
    <w:rsid w:val="00A107AE"/>
    <w:rsid w:val="00A83A72"/>
    <w:rsid w:val="00AB7C01"/>
    <w:rsid w:val="00B05BF7"/>
    <w:rsid w:val="00BB1112"/>
    <w:rsid w:val="00C45D0E"/>
    <w:rsid w:val="00C973D4"/>
    <w:rsid w:val="00CB4C9B"/>
    <w:rsid w:val="00D16470"/>
    <w:rsid w:val="00D34E18"/>
    <w:rsid w:val="00DC7A4C"/>
    <w:rsid w:val="00F5573C"/>
    <w:rsid w:val="00F90523"/>
    <w:rsid w:val="00FB057B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6F"/>
  </w:style>
  <w:style w:type="paragraph" w:styleId="2">
    <w:name w:val="heading 2"/>
    <w:basedOn w:val="a"/>
    <w:link w:val="20"/>
    <w:uiPriority w:val="9"/>
    <w:qFormat/>
    <w:rsid w:val="00BB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C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A7B0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1A7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7</cp:revision>
  <cp:lastPrinted>2016-02-18T02:13:00Z</cp:lastPrinted>
  <dcterms:created xsi:type="dcterms:W3CDTF">2016-02-15T07:43:00Z</dcterms:created>
  <dcterms:modified xsi:type="dcterms:W3CDTF">2016-02-20T01:38:00Z</dcterms:modified>
</cp:coreProperties>
</file>